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rStyle w:val="Policepardfaut"/>
          <w:rFonts w:cs="Arial" w:ascii="Arial" w:hAnsi="Arial"/>
          <w:b/>
          <w:sz w:val="28"/>
          <w:szCs w:val="28"/>
          <w:highlight w:val="yellow"/>
          <w:u w:val="single"/>
        </w:rPr>
        <w:t>M</w:t>
      </w:r>
      <w:r>
        <w:rPr>
          <w:rStyle w:val="Policepardfaut"/>
          <w:rFonts w:cs="Arial" w:ascii="Arial" w:hAnsi="Arial"/>
          <w:b/>
          <w:sz w:val="28"/>
          <w:szCs w:val="28"/>
          <w:highlight w:val="yellow"/>
          <w:u w:val="single"/>
        </w:rPr>
        <w:t xml:space="preserve">odèle de </w:t>
      </w:r>
      <w:r>
        <w:rPr>
          <w:rStyle w:val="Policepardfaut"/>
          <w:rFonts w:cs="Arial" w:ascii="Arial" w:hAnsi="Arial"/>
          <w:b/>
          <w:sz w:val="28"/>
          <w:szCs w:val="28"/>
          <w:u w:val="single"/>
        </w:rPr>
        <w:t xml:space="preserve">Convention </w:t>
      </w:r>
    </w:p>
    <w:p>
      <w:pPr>
        <w:pStyle w:val="Normal1"/>
        <w:jc w:val="center"/>
        <w:rPr/>
      </w:pPr>
      <w:r>
        <w:rPr>
          <w:rStyle w:val="Policepardfaut"/>
          <w:rFonts w:cs="Arial" w:ascii="Arial" w:hAnsi="Arial"/>
          <w:b/>
          <w:sz w:val="28"/>
          <w:szCs w:val="28"/>
          <w:u w:val="single"/>
        </w:rPr>
        <w:t>entre l’Association</w:t>
      </w:r>
      <w:r>
        <w:rPr>
          <w:rStyle w:val="Policepardfaut"/>
          <w:rFonts w:cs="Arial" w:ascii="Arial" w:hAnsi="Arial"/>
          <w:b/>
          <w:i/>
          <w:iCs/>
          <w:sz w:val="28"/>
          <w:szCs w:val="28"/>
          <w:u w:val="single"/>
        </w:rPr>
        <w:t xml:space="preserve"> </w:t>
      </w:r>
      <w:r>
        <w:rPr>
          <w:rStyle w:val="Policepardfaut"/>
          <w:rFonts w:cs="Arial" w:ascii="Arial" w:hAnsi="Arial"/>
          <w:b/>
          <w:i/>
          <w:iCs/>
          <w:sz w:val="28"/>
          <w:szCs w:val="28"/>
          <w:highlight w:val="yellow"/>
          <w:u w:val="single"/>
        </w:rPr>
        <w:t xml:space="preserve">A (exploitante du TL) </w:t>
      </w:r>
    </w:p>
    <w:p>
      <w:pPr>
        <w:pStyle w:val="Normal1"/>
        <w:jc w:val="center"/>
        <w:rPr/>
      </w:pPr>
      <w:r>
        <w:rPr>
          <w:rStyle w:val="Policepardfaut"/>
          <w:rFonts w:cs="Arial" w:ascii="Arial" w:hAnsi="Arial"/>
          <w:b/>
          <w:sz w:val="28"/>
          <w:szCs w:val="28"/>
          <w:u w:val="single"/>
        </w:rPr>
        <w:t xml:space="preserve">et la SCI </w:t>
      </w:r>
      <w:r>
        <w:rPr>
          <w:rStyle w:val="Policepardfaut"/>
          <w:rFonts w:cs="Arial" w:ascii="Arial" w:hAnsi="Arial"/>
          <w:b/>
          <w:i/>
          <w:iCs/>
          <w:sz w:val="28"/>
          <w:szCs w:val="28"/>
          <w:highlight w:val="yellow"/>
          <w:u w:val="single"/>
        </w:rPr>
        <w:t xml:space="preserve">S (propriétaire du bâtiment) </w:t>
      </w:r>
    </w:p>
    <w:p>
      <w:pPr>
        <w:pStyle w:val="Normal1"/>
        <w:jc w:val="center"/>
        <w:rPr>
          <w:strike/>
        </w:rPr>
      </w:pPr>
      <w:r>
        <w:rPr>
          <w:strike/>
        </w:rPr>
      </w:r>
    </w:p>
    <w:p>
      <w:pPr>
        <w:pStyle w:val="Normal1"/>
        <w:jc w:val="center"/>
        <w:rPr>
          <w:strike/>
          <w:color w:val="000000"/>
        </w:rPr>
      </w:pPr>
      <w:r>
        <w:rPr>
          <w:strike/>
          <w:color w:val="000000"/>
        </w:rPr>
      </w:r>
    </w:p>
    <w:p>
      <w:pPr>
        <w:pStyle w:val="Corpsdetexte"/>
        <w:numPr>
          <w:ilvl w:val="0"/>
          <w:numId w:val="1"/>
        </w:numPr>
        <w:tabs>
          <w:tab w:val="clear" w:pos="720"/>
          <w:tab w:val="left" w:pos="-288" w:leader="none"/>
        </w:tabs>
        <w:spacing w:lineRule="auto" w:line="276" w:before="0" w:after="200"/>
        <w:jc w:val="left"/>
        <w:rPr>
          <w:rFonts w:ascii="Arial" w:hAnsi="Arial" w:eastAsia="Calibri" w:cs="Arial"/>
          <w:b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bCs/>
          <w:color w:val="000000"/>
          <w:sz w:val="22"/>
          <w:szCs w:val="22"/>
          <w:u w:val="single"/>
          <w:lang w:eastAsia="en-US"/>
        </w:rPr>
        <w:t>Désignation des parties</w:t>
      </w:r>
    </w:p>
    <w:p>
      <w:pPr>
        <w:pStyle w:val="Corpsdetexte"/>
        <w:tabs>
          <w:tab w:val="clear" w:pos="720"/>
          <w:tab w:val="left" w:pos="432" w:leader="none"/>
        </w:tabs>
        <w:spacing w:lineRule="auto" w:line="276" w:before="0" w:after="200"/>
        <w:jc w:val="left"/>
        <w:rPr>
          <w:rFonts w:ascii="Arial" w:hAnsi="Arial" w:eastAsia="Calibri" w:cs="Arial"/>
          <w:color w:val="000000"/>
          <w:sz w:val="22"/>
          <w:szCs w:val="22"/>
          <w:lang w:eastAsia="en-US"/>
        </w:rPr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 xml:space="preserve">La présente convention est conclue entre les soussignés : </w:t>
      </w:r>
    </w:p>
    <w:p>
      <w:pPr>
        <w:pStyle w:val="Corpsdetexte"/>
        <w:tabs>
          <w:tab w:val="clear" w:pos="720"/>
          <w:tab w:val="left" w:pos="432" w:leader="none"/>
        </w:tabs>
        <w:spacing w:lineRule="auto" w:line="276" w:before="0" w:after="200"/>
        <w:jc w:val="left"/>
        <w:rPr/>
      </w:pPr>
      <w:r>
        <w:rPr>
          <w:rStyle w:val="Policepardfaut"/>
          <w:rFonts w:eastAsia="Calibri" w:cs="Arial" w:ascii="Arial" w:hAnsi="Arial"/>
          <w:color w:val="000000"/>
          <w:sz w:val="22"/>
          <w:szCs w:val="22"/>
          <w:lang w:eastAsia="en-US"/>
        </w:rPr>
        <w:br/>
      </w:r>
      <w:r>
        <w:rPr>
          <w:rStyle w:val="Policepardfaut"/>
          <w:rFonts w:eastAsia="Calibri" w:cs="Arial" w:ascii="Arial" w:hAnsi="Arial"/>
          <w:b/>
          <w:bCs/>
          <w:color w:val="000000"/>
          <w:sz w:val="22"/>
          <w:szCs w:val="22"/>
          <w:lang w:eastAsia="en-US"/>
        </w:rPr>
        <w:t xml:space="preserve">La Société SCI </w:t>
      </w:r>
      <w:r>
        <w:rPr>
          <w:rStyle w:val="Policepardfaut"/>
          <w:rFonts w:eastAsia="Calibri" w:cs="Arial" w:ascii="Arial" w:hAnsi="Arial"/>
          <w:b/>
          <w:bCs/>
          <w:i/>
          <w:iCs/>
          <w:color w:val="000000"/>
          <w:sz w:val="22"/>
          <w:szCs w:val="22"/>
          <w:highlight w:val="yellow"/>
          <w:lang w:eastAsia="en-US"/>
        </w:rPr>
        <w:t>S</w:t>
      </w:r>
      <w:r>
        <w:rPr>
          <w:rStyle w:val="Policepardfaut"/>
          <w:rFonts w:eastAsia="Calibri" w:cs="Arial" w:ascii="Arial" w:hAnsi="Arial"/>
          <w:b/>
          <w:bCs/>
          <w:color w:val="000000"/>
          <w:sz w:val="22"/>
          <w:szCs w:val="22"/>
          <w:highlight w:val="yellow"/>
          <w:lang w:eastAsia="en-US"/>
        </w:rPr>
        <w:t>,</w:t>
      </w:r>
      <w:r>
        <w:rPr>
          <w:rStyle w:val="Policepardfaut"/>
          <w:rFonts w:eastAsia="Calibri" w:cs="Arial" w:ascii="Arial" w:hAnsi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Style w:val="Policepardfaut"/>
          <w:rFonts w:eastAsia="Calibri" w:cs="Arial" w:ascii="Arial" w:hAnsi="Arial"/>
          <w:color w:val="000000"/>
          <w:sz w:val="22"/>
          <w:szCs w:val="22"/>
          <w:lang w:eastAsia="en-US"/>
        </w:rPr>
        <w:t xml:space="preserve"> Société Civile Immobilière au capital de 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x</w:t>
      </w:r>
      <w:r>
        <w:rPr>
          <w:rStyle w:val="Policepardfaut"/>
          <w:rFonts w:eastAsia="Calibri" w:cs="Arial" w:ascii="Arial" w:hAnsi="Arial"/>
          <w:color w:val="000000"/>
          <w:sz w:val="22"/>
          <w:szCs w:val="22"/>
          <w:lang w:eastAsia="en-US"/>
        </w:rPr>
        <w:t xml:space="preserve"> Euros, dont le Siège Social est à 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 xml:space="preserve">adresse </w:t>
      </w:r>
      <w:r>
        <w:rPr>
          <w:rStyle w:val="Policepardfaut"/>
          <w:rFonts w:eastAsia="Calibri" w:cs="Arial" w:ascii="Arial" w:hAnsi="Arial"/>
          <w:color w:val="000000"/>
          <w:sz w:val="22"/>
          <w:szCs w:val="22"/>
          <w:lang w:eastAsia="en-US"/>
        </w:rPr>
        <w:t xml:space="preserve">, Immatriculée au Registre du Commerce et des Sociétés de 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nom de la ville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 xml:space="preserve"> </w:t>
      </w:r>
      <w:r>
        <w:rPr>
          <w:rStyle w:val="Policepardfaut"/>
          <w:rFonts w:eastAsia="Calibri" w:cs="Arial" w:ascii="Arial" w:hAnsi="Arial"/>
          <w:color w:val="000000"/>
          <w:sz w:val="22"/>
          <w:szCs w:val="22"/>
          <w:lang w:eastAsia="en-US"/>
        </w:rPr>
        <w:t xml:space="preserve">sous le numéro SIREN 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xxxxxx</w:t>
      </w:r>
    </w:p>
    <w:p>
      <w:pPr>
        <w:pStyle w:val="Corpsdetexte"/>
        <w:tabs>
          <w:tab w:val="clear" w:pos="720"/>
          <w:tab w:val="left" w:pos="432" w:leader="none"/>
        </w:tabs>
        <w:spacing w:lineRule="auto" w:line="276" w:before="0" w:after="200"/>
        <w:jc w:val="left"/>
        <w:rPr/>
      </w:pP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 xml:space="preserve">Et représentée par </w:t>
      </w:r>
      <w:r>
        <w:rPr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Madame/Monsieur X</w:t>
      </w: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 xml:space="preserve"> en sa qualité de Géran</w:t>
      </w:r>
      <w:r>
        <w:rPr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t.</w:t>
      </w:r>
      <w:r>
        <w:rPr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e</w:t>
      </w:r>
      <w:r>
        <w:rPr>
          <w:rFonts w:eastAsia="Calibri" w:cs="Arial" w:ascii="Arial" w:hAnsi="Arial"/>
          <w:color w:val="000000"/>
          <w:sz w:val="22"/>
          <w:szCs w:val="22"/>
          <w:lang w:eastAsia="en-US"/>
        </w:rPr>
        <w:t>.</w:t>
      </w:r>
    </w:p>
    <w:p>
      <w:pPr>
        <w:pStyle w:val="Normal1"/>
        <w:spacing w:before="0" w:after="0"/>
        <w:rPr/>
      </w:pPr>
      <w:r>
        <w:rPr>
          <w:rStyle w:val="Policepardfaut"/>
          <w:rFonts w:cs="Arial" w:ascii="Arial" w:hAnsi="Arial"/>
          <w:color w:val="000000"/>
          <w:sz w:val="6"/>
          <w:szCs w:val="6"/>
        </w:rPr>
        <w:br/>
      </w:r>
      <w:r>
        <w:rPr>
          <w:rStyle w:val="Policepardfaut"/>
          <w:rFonts w:cs="Arial" w:ascii="Arial" w:hAnsi="Arial"/>
          <w:color w:val="000000"/>
        </w:rPr>
        <w:t xml:space="preserve">ET </w:t>
      </w:r>
    </w:p>
    <w:p>
      <w:pPr>
        <w:pStyle w:val="Normal1"/>
        <w:spacing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1"/>
        <w:spacing w:before="0" w:after="100"/>
        <w:rPr/>
      </w:pPr>
      <w:r>
        <w:rPr>
          <w:rStyle w:val="Policepardfaut"/>
          <w:rFonts w:cs="Arial" w:ascii="Arial" w:hAnsi="Arial"/>
          <w:b/>
          <w:bCs/>
          <w:color w:val="000000"/>
        </w:rPr>
        <w:t xml:space="preserve">L’Association </w:t>
      </w:r>
      <w:r>
        <w:rPr>
          <w:rStyle w:val="Policepardfaut"/>
          <w:rFonts w:cs="Arial" w:ascii="Arial" w:hAnsi="Arial"/>
          <w:b/>
          <w:bCs/>
          <w:i/>
          <w:iCs/>
          <w:color w:val="000000"/>
          <w:highlight w:val="yellow"/>
        </w:rPr>
        <w:t>A</w:t>
      </w:r>
      <w:r>
        <w:rPr>
          <w:rStyle w:val="Policepardfaut"/>
          <w:rFonts w:cs="Arial" w:ascii="Arial" w:hAnsi="Arial"/>
          <w:i/>
          <w:iCs/>
          <w:color w:val="000000"/>
        </w:rPr>
        <w:t>,</w:t>
      </w:r>
      <w:r>
        <w:rPr>
          <w:rStyle w:val="Policepardfaut"/>
          <w:rFonts w:cs="Arial" w:ascii="Arial" w:hAnsi="Arial"/>
          <w:color w:val="000000"/>
        </w:rPr>
        <w:t xml:space="preserve"> ayant son siège social </w:t>
      </w:r>
      <w:r>
        <w:rPr>
          <w:rStyle w:val="Policepardfaut"/>
          <w:rFonts w:cs="Arial" w:ascii="Arial" w:hAnsi="Arial"/>
          <w:color w:val="000000"/>
        </w:rPr>
        <w:t xml:space="preserve">à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adresse</w:t>
      </w:r>
      <w:r>
        <w:rPr>
          <w:rStyle w:val="Policepardfaut"/>
          <w:rFonts w:cs="Arial" w:ascii="Arial" w:hAnsi="Arial"/>
          <w:color w:val="000000"/>
        </w:rPr>
        <w:br/>
        <w:t>Immatriculée au Répertoire SIREN sous le n°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xxxxx</w:t>
      </w:r>
      <w:r>
        <w:rPr>
          <w:rStyle w:val="Policepardfaut"/>
          <w:rFonts w:cs="Arial" w:ascii="Arial" w:hAnsi="Arial"/>
          <w:color w:val="000000"/>
        </w:rPr>
        <w:br/>
        <w:t xml:space="preserve">Et représentée par </w:t>
      </w:r>
      <w:r>
        <w:rPr>
          <w:rStyle w:val="Policepardfaut"/>
          <w:rFonts w:eastAsia="Calibri" w:cs="Arial" w:ascii="Arial" w:hAnsi="Arial"/>
          <w:i/>
          <w:iCs/>
          <w:color w:val="000000"/>
          <w:sz w:val="22"/>
          <w:szCs w:val="22"/>
          <w:highlight w:val="yellow"/>
          <w:lang w:eastAsia="en-US"/>
        </w:rPr>
        <w:t>Madame/Monsieur Y</w:t>
      </w:r>
      <w:r>
        <w:rPr>
          <w:rStyle w:val="Policepardfaut"/>
          <w:rFonts w:cs="Arial" w:ascii="Arial" w:hAnsi="Arial"/>
          <w:color w:val="000000"/>
        </w:rPr>
        <w:t xml:space="preserve"> en sa qualité de Présiden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t.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e</w:t>
      </w:r>
      <w:r>
        <w:rPr>
          <w:rStyle w:val="Policepardfaut"/>
          <w:rFonts w:cs="Arial" w:ascii="Arial" w:hAnsi="Arial"/>
          <w:color w:val="000000"/>
        </w:rPr>
        <w:t>.</w:t>
      </w:r>
    </w:p>
    <w:p>
      <w:pPr>
        <w:pStyle w:val="Normal1"/>
        <w:spacing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1"/>
        <w:rPr/>
      </w:pPr>
      <w:r>
        <w:rPr>
          <w:rStyle w:val="Policepardfaut"/>
          <w:rFonts w:cs="Arial" w:ascii="Arial" w:hAnsi="Arial"/>
          <w:color w:val="000000"/>
        </w:rPr>
        <w:t xml:space="preserve">Il a été convenu ce qui suit : </w:t>
      </w:r>
    </w:p>
    <w:p>
      <w:pPr>
        <w:pStyle w:val="Paragraphedeliste"/>
        <w:numPr>
          <w:ilvl w:val="0"/>
          <w:numId w:val="1"/>
        </w:numPr>
        <w:rPr/>
      </w:pPr>
      <w:r>
        <w:rPr>
          <w:rFonts w:cs="Arial" w:ascii="Arial" w:hAnsi="Arial"/>
          <w:b/>
          <w:bCs/>
          <w:color w:val="000000"/>
          <w:u w:val="single"/>
        </w:rPr>
        <w:t xml:space="preserve">Une volonté commune de créer un </w:t>
      </w:r>
      <w:r>
        <w:rPr>
          <w:rFonts w:cs="Arial" w:ascii="Arial" w:hAnsi="Arial"/>
          <w:b/>
          <w:bCs/>
          <w:color w:val="000000"/>
          <w:u w:val="single"/>
        </w:rPr>
        <w:t>Tiers-lieu</w:t>
      </w:r>
      <w:r>
        <w:rPr>
          <w:rFonts w:cs="Arial" w:ascii="Arial" w:hAnsi="Arial"/>
          <w:b/>
          <w:bCs/>
          <w:color w:val="000000"/>
          <w:u w:val="single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 xml:space="preserve">Contexte local 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>Objectifs de l’association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 xml:space="preserve">Objectifs de la SCI 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 xml:space="preserve">Objectifs du tiers-lieu </w:t>
      </w:r>
    </w:p>
    <w:p>
      <w:pPr>
        <w:pStyle w:val="Normal"/>
        <w:spacing w:lineRule="auto" w:line="240" w:before="0" w:after="0"/>
        <w:jc w:val="both"/>
        <w:rPr>
          <w:rStyle w:val="Policepardfaut"/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0"/>
          <w:u w:val="none"/>
        </w:rPr>
      </w:r>
    </w:p>
    <w:p>
      <w:pPr>
        <w:pStyle w:val="Normal"/>
        <w:spacing w:lineRule="auto" w:line="240" w:before="0" w:after="0"/>
        <w:jc w:val="both"/>
        <w:rPr>
          <w:rStyle w:val="Policepardfaut"/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0"/>
          <w:u w:val="none"/>
        </w:rPr>
      </w:r>
    </w:p>
    <w:p>
      <w:pPr>
        <w:pStyle w:val="Paragraphedeliste"/>
        <w:numPr>
          <w:ilvl w:val="0"/>
          <w:numId w:val="1"/>
        </w:numPr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Style w:val="Policepardfaut"/>
          <w:rFonts w:cs="Arial" w:ascii="Arial" w:hAnsi="Arial"/>
          <w:b/>
          <w:bCs/>
          <w:color w:val="000000"/>
          <w:u w:val="single"/>
        </w:rPr>
        <w:t>Engagements réciproques</w:t>
      </w:r>
    </w:p>
    <w:p>
      <w:pPr>
        <w:pStyle w:val="Normal1"/>
        <w:jc w:val="both"/>
        <w:rPr/>
      </w:pPr>
      <w:r>
        <w:rPr>
          <w:rStyle w:val="Policepardfaut"/>
          <w:rFonts w:cs="Arial" w:ascii="Arial" w:hAnsi="Arial"/>
          <w:color w:val="000000"/>
        </w:rPr>
        <w:t xml:space="preserve">La SCI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S</w:t>
      </w:r>
      <w:r>
        <w:rPr>
          <w:rStyle w:val="Policepardfaut"/>
          <w:rFonts w:cs="Arial" w:ascii="Arial" w:hAnsi="Arial"/>
          <w:color w:val="000000"/>
        </w:rPr>
        <w:t xml:space="preserve"> et l’Association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A</w:t>
      </w:r>
      <w:r>
        <w:rPr>
          <w:rStyle w:val="Policepardfaut"/>
          <w:rFonts w:cs="Arial" w:ascii="Arial" w:hAnsi="Arial"/>
          <w:color w:val="000000"/>
        </w:rPr>
        <w:t xml:space="preserve"> </w:t>
      </w:r>
      <w:r>
        <w:rPr>
          <w:rStyle w:val="Policepardfaut"/>
          <w:rFonts w:cs="Arial" w:ascii="Arial" w:hAnsi="Arial"/>
          <w:color w:val="000000"/>
        </w:rPr>
        <w:t xml:space="preserve">souhaitent formaliser par cette convention leur partenariat permettant de concrétiser ce projet de </w:t>
      </w:r>
      <w:r>
        <w:rPr>
          <w:rStyle w:val="Policepardfaut"/>
          <w:rFonts w:cs="Arial" w:ascii="Arial" w:hAnsi="Arial"/>
          <w:color w:val="000000"/>
        </w:rPr>
        <w:t xml:space="preserve">tiers-lieu. </w:t>
      </w:r>
    </w:p>
    <w:p>
      <w:pPr>
        <w:pStyle w:val="Normal1"/>
        <w:jc w:val="both"/>
        <w:rPr/>
      </w:pPr>
      <w:r>
        <w:rPr>
          <w:rFonts w:cs="Arial" w:ascii="Arial" w:hAnsi="Arial"/>
          <w:color w:val="000000"/>
        </w:rPr>
        <w:t xml:space="preserve">La SCI met ainsi à disposition de ce projet </w:t>
      </w:r>
      <w:r>
        <w:rPr>
          <w:rFonts w:cs="Arial" w:ascii="Arial" w:hAnsi="Arial"/>
          <w:i/>
          <w:iCs/>
          <w:color w:val="000000"/>
          <w:highlight w:val="yellow"/>
        </w:rPr>
        <w:t>tout ou</w:t>
      </w:r>
      <w:r>
        <w:rPr>
          <w:rFonts w:cs="Arial" w:ascii="Arial" w:hAnsi="Arial"/>
          <w:i/>
          <w:iCs/>
          <w:color w:val="000000"/>
          <w:highlight w:val="yellow"/>
        </w:rPr>
        <w:t xml:space="preserve"> partie</w:t>
      </w:r>
      <w:r>
        <w:rPr>
          <w:rFonts w:cs="Arial" w:ascii="Arial" w:hAnsi="Arial"/>
          <w:color w:val="000000"/>
        </w:rPr>
        <w:t xml:space="preserve"> du bâtiment </w:t>
      </w:r>
      <w:r>
        <w:rPr>
          <w:rFonts w:cs="Arial" w:ascii="Arial" w:hAnsi="Arial"/>
          <w:i/>
          <w:iCs/>
          <w:color w:val="000000"/>
          <w:highlight w:val="yellow"/>
        </w:rPr>
        <w:t>xx</w:t>
      </w:r>
      <w:r>
        <w:rPr>
          <w:rFonts w:cs="Arial" w:ascii="Arial" w:hAnsi="Arial"/>
          <w:i/>
          <w:iCs/>
          <w:color w:val="000000"/>
          <w:highlight w:val="yellow"/>
        </w:rPr>
        <w:t xml:space="preserve"> </w:t>
      </w:r>
      <w:r>
        <w:rPr>
          <w:rFonts w:cs="Arial" w:ascii="Arial" w:hAnsi="Arial"/>
          <w:color w:val="000000"/>
        </w:rPr>
        <w:t xml:space="preserve">dont elle est propriétaire, situé au </w:t>
      </w:r>
      <w:r>
        <w:rPr>
          <w:rFonts w:cs="Arial" w:ascii="Arial" w:hAnsi="Arial"/>
          <w:i/>
          <w:iCs/>
          <w:color w:val="000000"/>
          <w:highlight w:val="yellow"/>
        </w:rPr>
        <w:t>adresse</w:t>
      </w:r>
      <w:r>
        <w:rPr>
          <w:rFonts w:cs="Arial" w:ascii="Arial" w:hAnsi="Arial"/>
          <w:color w:val="000000"/>
        </w:rPr>
        <w:t xml:space="preserve">, via un </w:t>
      </w:r>
      <w:r>
        <w:rPr>
          <w:rFonts w:cs="Arial" w:ascii="Arial" w:hAnsi="Arial"/>
          <w:i/>
          <w:iCs/>
          <w:color w:val="000000"/>
          <w:highlight w:val="yellow"/>
        </w:rPr>
        <w:t>bail commercial</w:t>
      </w:r>
      <w:r>
        <w:rPr>
          <w:rFonts w:cs="Arial" w:ascii="Arial" w:hAnsi="Arial"/>
          <w:color w:val="000000"/>
        </w:rPr>
        <w:t xml:space="preserve"> à des conditions de loyer avantageuses par rapport au prix du marché et ce pour une durée minimum de </w:t>
      </w:r>
      <w:r>
        <w:rPr>
          <w:rFonts w:cs="Arial" w:ascii="Arial" w:hAnsi="Arial"/>
          <w:i/>
          <w:iCs/>
          <w:color w:val="000000"/>
          <w:highlight w:val="yellow"/>
        </w:rPr>
        <w:t>10</w:t>
      </w: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ans (cf article 6). </w:t>
      </w:r>
    </w:p>
    <w:p>
      <w:pPr>
        <w:pStyle w:val="Normal1"/>
        <w:spacing w:before="0" w:after="40"/>
        <w:jc w:val="both"/>
        <w:rPr/>
      </w:pPr>
      <w:r>
        <w:rPr>
          <w:rStyle w:val="Policepardfaut"/>
          <w:rFonts w:cs="Arial" w:ascii="Arial" w:hAnsi="Arial"/>
          <w:color w:val="000000"/>
        </w:rPr>
        <w:t xml:space="preserve">L’association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A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 xml:space="preserve"> </w:t>
      </w:r>
      <w:r>
        <w:rPr>
          <w:rStyle w:val="Policepardfaut"/>
          <w:rFonts w:cs="Arial" w:ascii="Arial" w:hAnsi="Arial"/>
          <w:color w:val="000000"/>
        </w:rPr>
        <w:t xml:space="preserve">s’engage pour sa part à développer dans ce lieu le projet de </w:t>
      </w:r>
      <w:r>
        <w:rPr>
          <w:rStyle w:val="Policepardfaut"/>
          <w:rFonts w:cs="Arial" w:ascii="Arial" w:hAnsi="Arial"/>
          <w:color w:val="000000"/>
        </w:rPr>
        <w:t>tiers-lieu</w:t>
      </w:r>
      <w:r>
        <w:rPr>
          <w:rStyle w:val="Policepardfaut"/>
          <w:rFonts w:cs="Arial" w:ascii="Arial" w:hAnsi="Arial"/>
          <w:color w:val="000000"/>
        </w:rPr>
        <w:t xml:space="preserve"> ayant vocation à :</w:t>
      </w:r>
    </w:p>
    <w:p>
      <w:pPr>
        <w:pStyle w:val="Paragraphedeliste"/>
        <w:numPr>
          <w:ilvl w:val="0"/>
          <w:numId w:val="2"/>
        </w:numPr>
        <w:suppressAutoHyphens w:val="false"/>
        <w:spacing w:before="0" w:after="40"/>
        <w:ind w:left="714" w:right="0" w:hanging="357"/>
        <w:jc w:val="both"/>
        <w:textAlignment w:val="auto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>objectif opérationnel 1</w:t>
      </w:r>
    </w:p>
    <w:p>
      <w:pPr>
        <w:pStyle w:val="Paragraphedeliste"/>
        <w:numPr>
          <w:ilvl w:val="0"/>
          <w:numId w:val="2"/>
        </w:numPr>
        <w:suppressAutoHyphens w:val="false"/>
        <w:spacing w:before="0" w:after="40"/>
        <w:ind w:left="714" w:right="0" w:hanging="357"/>
        <w:jc w:val="both"/>
        <w:textAlignment w:val="auto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 xml:space="preserve">objectif </w:t>
      </w:r>
      <w:r>
        <w:rPr>
          <w:rFonts w:cs="Arial" w:ascii="Arial" w:hAnsi="Arial"/>
          <w:i/>
          <w:iCs/>
          <w:highlight w:val="yellow"/>
        </w:rPr>
        <w:t xml:space="preserve">opérationnel </w:t>
      </w:r>
      <w:r>
        <w:rPr>
          <w:rFonts w:cs="Arial" w:ascii="Arial" w:hAnsi="Arial"/>
          <w:i/>
          <w:iCs/>
          <w:highlight w:val="yellow"/>
        </w:rPr>
        <w:t>2</w:t>
      </w:r>
    </w:p>
    <w:p>
      <w:pPr>
        <w:pStyle w:val="Paragraphedeliste"/>
        <w:numPr>
          <w:ilvl w:val="0"/>
          <w:numId w:val="2"/>
        </w:numPr>
        <w:suppressAutoHyphens w:val="false"/>
        <w:spacing w:before="0" w:after="40"/>
        <w:ind w:left="714" w:right="0" w:hanging="357"/>
        <w:jc w:val="both"/>
        <w:textAlignment w:val="auto"/>
        <w:rPr>
          <w:rFonts w:ascii="Arial" w:hAnsi="Arial" w:cs="Arial"/>
          <w:i/>
          <w:i/>
          <w:iCs/>
          <w:highlight w:val="yellow"/>
        </w:rPr>
      </w:pPr>
      <w:r>
        <w:rPr>
          <w:rFonts w:cs="Arial" w:ascii="Arial" w:hAnsi="Arial"/>
          <w:i/>
          <w:iCs/>
          <w:highlight w:val="yellow"/>
        </w:rPr>
        <w:t>…</w:t>
      </w:r>
    </w:p>
    <w:p>
      <w:pPr>
        <w:pStyle w:val="Paragraphedeliste"/>
        <w:suppressAutoHyphens w:val="false"/>
        <w:spacing w:before="0" w:after="40"/>
        <w:ind w:left="714" w:right="0" w:hanging="357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Paragraphedeliste"/>
        <w:numPr>
          <w:ilvl w:val="0"/>
          <w:numId w:val="1"/>
        </w:numPr>
        <w:rPr/>
      </w:pPr>
      <w:r>
        <w:rPr>
          <w:rStyle w:val="Policepardfaut"/>
          <w:rFonts w:cs="Arial" w:ascii="Arial" w:hAnsi="Arial"/>
          <w:b/>
          <w:bCs/>
          <w:color w:val="000000"/>
          <w:u w:val="single"/>
        </w:rPr>
        <w:t xml:space="preserve">Espaces dédiés au tiers-lieu </w:t>
      </w:r>
    </w:p>
    <w:p>
      <w:pPr>
        <w:pStyle w:val="Paragraphedeliste"/>
        <w:spacing w:before="0" w:after="60"/>
        <w:ind w:left="0" w:right="0" w:hanging="0"/>
        <w:rPr/>
      </w:pPr>
      <w:r>
        <w:rPr>
          <w:rStyle w:val="Policepardfaut"/>
          <w:rFonts w:cs="Arial" w:ascii="Arial" w:hAnsi="Arial"/>
        </w:rPr>
        <w:t xml:space="preserve">Une surface de </w:t>
      </w:r>
      <w:r>
        <w:rPr>
          <w:rStyle w:val="Policepardfaut"/>
          <w:rFonts w:cs="Arial" w:ascii="Arial" w:hAnsi="Arial"/>
          <w:i/>
          <w:iCs/>
          <w:highlight w:val="yellow"/>
        </w:rPr>
        <w:t xml:space="preserve">x </w:t>
      </w:r>
      <w:r>
        <w:rPr>
          <w:rStyle w:val="Policepardfaut"/>
          <w:rFonts w:cs="Arial" w:ascii="Arial" w:hAnsi="Arial"/>
        </w:rPr>
        <w:t xml:space="preserve">m² est dédiée à l’association </w:t>
      </w:r>
      <w:r>
        <w:rPr>
          <w:rStyle w:val="Policepardfaut"/>
          <w:rFonts w:cs="Arial" w:ascii="Arial" w:hAnsi="Arial"/>
        </w:rPr>
        <w:t>A dans</w:t>
      </w:r>
      <w:r>
        <w:rPr>
          <w:rStyle w:val="Policepardfaut"/>
          <w:rFonts w:cs="Arial" w:ascii="Arial" w:hAnsi="Arial"/>
        </w:rPr>
        <w:t xml:space="preserve"> le bâtiment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et ses espaces extérieurs</w:t>
      </w:r>
      <w:r>
        <w:rPr>
          <w:rStyle w:val="Policepardfaut"/>
          <w:rFonts w:cs="Arial" w:ascii="Arial" w:hAnsi="Arial"/>
          <w:color w:val="000000"/>
        </w:rPr>
        <w:t xml:space="preserve"> selon le plan et la répartition des surfaces joints dans le document annexe :</w:t>
      </w:r>
    </w:p>
    <w:p>
      <w:pPr>
        <w:pStyle w:val="Normal1"/>
        <w:numPr>
          <w:ilvl w:val="0"/>
          <w:numId w:val="2"/>
        </w:numPr>
        <w:tabs>
          <w:tab w:val="clear" w:pos="720"/>
        </w:tabs>
        <w:suppressAutoHyphens w:val="false"/>
        <w:spacing w:lineRule="auto" w:line="240" w:before="0" w:after="40"/>
        <w:ind w:left="714" w:right="0" w:hanging="357"/>
        <w:jc w:val="both"/>
        <w:textAlignment w:val="auto"/>
        <w:rPr>
          <w:rFonts w:ascii="Arial" w:hAnsi="Arial" w:eastAsia="Times New Roman" w:cs="Arial"/>
          <w:i/>
          <w:i/>
          <w:iCs/>
          <w:color w:val="000000"/>
          <w:sz w:val="22"/>
          <w:szCs w:val="22"/>
          <w:highlight w:val="yellow"/>
        </w:rPr>
      </w:pPr>
      <w:r>
        <w:rPr>
          <w:rFonts w:eastAsia="Times New Roman" w:cs="Arial" w:ascii="Arial" w:hAnsi="Arial"/>
          <w:i/>
          <w:iCs/>
          <w:color w:val="000000"/>
          <w:sz w:val="22"/>
          <w:szCs w:val="22"/>
          <w:highlight w:val="yellow"/>
        </w:rPr>
        <w:t>Rez de chaussée : description</w:t>
      </w:r>
    </w:p>
    <w:p>
      <w:pPr>
        <w:pStyle w:val="Normal1"/>
        <w:numPr>
          <w:ilvl w:val="0"/>
          <w:numId w:val="2"/>
        </w:numPr>
        <w:tabs>
          <w:tab w:val="clear" w:pos="720"/>
        </w:tabs>
        <w:suppressAutoHyphens w:val="false"/>
        <w:spacing w:lineRule="auto" w:line="240" w:before="0" w:after="40"/>
        <w:ind w:left="714" w:right="0" w:hanging="357"/>
        <w:jc w:val="both"/>
        <w:textAlignment w:val="auto"/>
        <w:rPr>
          <w:rFonts w:ascii="Arial" w:hAnsi="Arial" w:eastAsia="Times New Roman" w:cs="Arial"/>
          <w:i/>
          <w:i/>
          <w:iCs/>
          <w:color w:val="000000"/>
          <w:sz w:val="22"/>
          <w:szCs w:val="22"/>
          <w:highlight w:val="yellow"/>
        </w:rPr>
      </w:pPr>
      <w:r>
        <w:rPr>
          <w:rFonts w:eastAsia="Times New Roman" w:cs="Arial" w:ascii="Arial" w:hAnsi="Arial"/>
          <w:i/>
          <w:iCs/>
          <w:color w:val="000000"/>
          <w:sz w:val="22"/>
          <w:szCs w:val="22"/>
          <w:highlight w:val="yellow"/>
        </w:rPr>
        <w:t xml:space="preserve">R+1 : description </w:t>
      </w:r>
    </w:p>
    <w:p>
      <w:pPr>
        <w:pStyle w:val="Normal1"/>
        <w:numPr>
          <w:ilvl w:val="0"/>
          <w:numId w:val="2"/>
        </w:numPr>
        <w:tabs>
          <w:tab w:val="clear" w:pos="720"/>
        </w:tabs>
        <w:suppressAutoHyphens w:val="false"/>
        <w:spacing w:lineRule="auto" w:line="240" w:before="0" w:after="40"/>
        <w:ind w:left="714" w:right="0" w:hanging="357"/>
        <w:jc w:val="both"/>
        <w:textAlignment w:val="auto"/>
        <w:rPr>
          <w:rFonts w:ascii="Arial" w:hAnsi="Arial" w:eastAsia="Times New Roman" w:cs="Arial"/>
          <w:i/>
          <w:i/>
          <w:iCs/>
          <w:highlight w:val="yellow"/>
        </w:rPr>
      </w:pPr>
      <w:r>
        <w:rPr>
          <w:rFonts w:eastAsia="Times New Roman" w:cs="Arial" w:ascii="Arial" w:hAnsi="Arial"/>
          <w:i/>
          <w:iCs/>
          <w:color w:val="000000"/>
          <w:sz w:val="22"/>
          <w:szCs w:val="22"/>
          <w:highlight w:val="yellow"/>
        </w:rPr>
        <w:t>u</w:t>
      </w:r>
      <w:r>
        <w:rPr>
          <w:rFonts w:eastAsia="Times New Roman" w:cs="Arial" w:ascii="Arial" w:hAnsi="Arial"/>
          <w:i/>
          <w:iCs/>
          <w:color w:val="000000"/>
          <w:sz w:val="22"/>
          <w:szCs w:val="22"/>
          <w:highlight w:val="yellow"/>
        </w:rPr>
        <w:t>n espace de stockage : description</w:t>
      </w:r>
    </w:p>
    <w:p>
      <w:pPr>
        <w:pStyle w:val="Paragraphedeliste"/>
        <w:numPr>
          <w:ilvl w:val="0"/>
          <w:numId w:val="2"/>
        </w:numPr>
        <w:suppressAutoHyphens w:val="false"/>
        <w:spacing w:lineRule="auto" w:line="240" w:before="0" w:after="40"/>
        <w:ind w:left="714" w:right="0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sz w:val="22"/>
          <w:szCs w:val="22"/>
          <w:highlight w:val="yellow"/>
          <w:u w:val="none"/>
        </w:rPr>
        <w:t>un patio extérieur : description</w:t>
      </w:r>
    </w:p>
    <w:p>
      <w:pPr>
        <w:pStyle w:val="Paragraphedeliste"/>
        <w:numPr>
          <w:ilvl w:val="0"/>
          <w:numId w:val="2"/>
        </w:numPr>
        <w:suppressAutoHyphens w:val="false"/>
        <w:spacing w:lineRule="auto" w:line="240" w:before="0" w:after="40"/>
        <w:ind w:left="714" w:right="0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sz w:val="22"/>
          <w:szCs w:val="22"/>
          <w:highlight w:val="yellow"/>
          <w:u w:val="none"/>
        </w:rPr>
        <w:t>...</w:t>
      </w:r>
    </w:p>
    <w:p>
      <w:pPr>
        <w:pStyle w:val="Paragraphedeliste"/>
        <w:numPr>
          <w:ilvl w:val="0"/>
          <w:numId w:val="0"/>
        </w:numPr>
        <w:suppressAutoHyphens w:val="false"/>
        <w:spacing w:lineRule="auto" w:line="240" w:before="0" w:after="40"/>
        <w:ind w:left="1077" w:right="0" w:hanging="0"/>
        <w:jc w:val="both"/>
        <w:textAlignment w:val="auto"/>
        <w:rPr>
          <w:rStyle w:val="Policepardfaut"/>
          <w:rFonts w:ascii="Arial" w:hAnsi="Arial" w:cs="Arial"/>
          <w:i/>
          <w:i/>
          <w:iCs/>
          <w:color w:val="000000"/>
          <w:highlight w:val="yellow"/>
        </w:rPr>
      </w:pPr>
      <w:r>
        <w:rPr/>
      </w:r>
    </w:p>
    <w:p>
      <w:pPr>
        <w:pStyle w:val="Normal"/>
        <w:jc w:val="both"/>
        <w:rPr/>
      </w:pPr>
      <w:r>
        <w:rPr>
          <w:rStyle w:val="Policepardfaut"/>
          <w:rFonts w:cs="Arial" w:ascii="Arial" w:hAnsi="Arial"/>
          <w:color w:val="000000"/>
        </w:rPr>
        <w:t>L’association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 xml:space="preserve"> A</w:t>
      </w:r>
      <w:r>
        <w:rPr>
          <w:rStyle w:val="Policepardfaut"/>
          <w:rFonts w:cs="Arial" w:ascii="Arial" w:hAnsi="Arial"/>
          <w:color w:val="000000"/>
        </w:rPr>
        <w:t xml:space="preserve"> a pleine autonomie sur le développement et la mise en œuvre du projet dans la limite du cadre et des objectifs fixés par les membres de la SCI. Elle veillera à ce que les activités et usages déployés respectent scrupuleusement l’intégrité du bâtiment et s’assurera du bon entretien des objets, meubles, confiés par la SCI </w:t>
      </w:r>
      <w:r>
        <w:rPr>
          <w:rStyle w:val="Policepardfaut"/>
          <w:rFonts w:cs="Arial" w:ascii="Arial" w:hAnsi="Arial"/>
          <w:color w:val="000000"/>
          <w:highlight w:val="yellow"/>
        </w:rPr>
        <w:t>S</w:t>
      </w:r>
      <w:r>
        <w:rPr>
          <w:rStyle w:val="Policepardfaut"/>
          <w:rFonts w:cs="Arial" w:ascii="Arial" w:hAnsi="Arial"/>
          <w:color w:val="000000"/>
        </w:rPr>
        <w:t xml:space="preserve">.Elle n’entreprendra aucuns travaux d’embellissement ou de rénovation sans un accord formel et écrit de la SCI </w:t>
      </w:r>
      <w:r>
        <w:rPr>
          <w:rStyle w:val="Policepardfaut"/>
          <w:rFonts w:cs="Arial" w:ascii="Arial" w:hAnsi="Arial"/>
          <w:color w:val="000000"/>
          <w:highlight w:val="yellow"/>
        </w:rPr>
        <w:t>S</w:t>
      </w:r>
    </w:p>
    <w:p>
      <w:pPr>
        <w:pStyle w:val="Normal"/>
        <w:jc w:val="both"/>
        <w:rPr/>
      </w:pP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Les créations (plans ou objets), réalisations,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productions, contenus,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accessoires acquis ou fabriqués par l’association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 xml:space="preserve"> A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da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ns le c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adre de la réalisation des missions susvisées, ainsi que, le cas échéant, l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e matériel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spécifique aux productions concernées restent la propriété de l’association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A</w:t>
      </w:r>
    </w:p>
    <w:p>
      <w:pPr>
        <w:pStyle w:val="Normal"/>
        <w:jc w:val="both"/>
        <w:rPr>
          <w:rStyle w:val="Policepardfaut"/>
          <w:rFonts w:ascii="Arial" w:hAnsi="Arial" w:cs="Arial"/>
          <w:b w:val="false"/>
          <w:b w:val="false"/>
          <w:bCs w:val="false"/>
          <w:i/>
          <w:i/>
          <w:iCs/>
          <w:color w:val="000000"/>
          <w:highlight w:val="yellow"/>
          <w:u w:val="none"/>
        </w:rPr>
      </w:pPr>
      <w:r>
        <w:rPr/>
      </w:r>
    </w:p>
    <w:p>
      <w:pPr>
        <w:pStyle w:val="Paragraphedeliste"/>
        <w:numPr>
          <w:ilvl w:val="0"/>
          <w:numId w:val="1"/>
        </w:numPr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Style w:val="Policepardfaut"/>
          <w:rFonts w:cs="Arial" w:ascii="Arial" w:hAnsi="Arial"/>
          <w:b/>
          <w:bCs/>
          <w:color w:val="000000"/>
          <w:u w:val="single"/>
        </w:rPr>
        <w:t xml:space="preserve">Financement des travaux </w:t>
      </w:r>
      <w:r>
        <w:rPr>
          <w:rStyle w:val="Policepardfaut"/>
          <w:rFonts w:cs="Arial" w:ascii="Arial" w:hAnsi="Arial"/>
          <w:b/>
          <w:bCs/>
          <w:i/>
          <w:iCs/>
          <w:color w:val="000000"/>
          <w:highlight w:val="yellow"/>
          <w:u w:val="single"/>
        </w:rPr>
        <w:t>(optionnel)</w:t>
      </w:r>
    </w:p>
    <w:p>
      <w:pPr>
        <w:pStyle w:val="Paragraphedeliste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Dans le cadre de cette convention, la SCI </w:t>
      </w:r>
      <w:r>
        <w:rPr>
          <w:rFonts w:cs="Arial" w:ascii="Arial" w:hAnsi="Arial"/>
          <w:b w:val="false"/>
          <w:bCs w:val="false"/>
          <w:i/>
          <w:iCs/>
          <w:color w:val="000000"/>
          <w:highlight w:val="yellow"/>
        </w:rPr>
        <w:t>S</w:t>
      </w:r>
      <w:r>
        <w:rPr>
          <w:rFonts w:cs="Arial" w:ascii="Arial" w:hAnsi="Arial"/>
          <w:b w:val="false"/>
          <w:bCs w:val="false"/>
          <w:color w:val="000000"/>
        </w:rPr>
        <w:t xml:space="preserve"> assure les travaux de réhabilitation et de mise aux normes des espaces loués à l’association </w:t>
      </w:r>
      <w:r>
        <w:rPr>
          <w:rFonts w:cs="Arial" w:ascii="Arial" w:hAnsi="Arial"/>
          <w:b w:val="false"/>
          <w:bCs w:val="false"/>
          <w:i/>
          <w:iCs/>
          <w:color w:val="000000"/>
          <w:highlight w:val="yellow"/>
        </w:rPr>
        <w:t>A</w:t>
      </w:r>
      <w:r>
        <w:rPr>
          <w:rFonts w:cs="Arial" w:ascii="Arial" w:hAnsi="Arial"/>
          <w:b w:val="false"/>
          <w:bCs w:val="false"/>
          <w:color w:val="000000"/>
        </w:rPr>
        <w:t xml:space="preserve">. Elle bénéficie pour ce faire des subventions publiques de </w:t>
      </w:r>
      <w:r>
        <w:rPr>
          <w:rFonts w:cs="Arial" w:ascii="Arial" w:hAnsi="Arial"/>
          <w:b w:val="false"/>
          <w:bCs w:val="false"/>
          <w:i/>
          <w:iCs/>
          <w:color w:val="000000"/>
          <w:highlight w:val="yellow"/>
        </w:rPr>
        <w:t>xxx (partenaires financiers publics et privés)</w:t>
      </w:r>
      <w:r>
        <w:rPr>
          <w:rFonts w:cs="Arial" w:ascii="Arial" w:hAnsi="Arial"/>
          <w:b w:val="false"/>
          <w:bCs w:val="false"/>
          <w:color w:val="000000"/>
        </w:rPr>
        <w:t xml:space="preserve">, pour les travaux d’aménagement intérieur et extérieur, incluant le mobilier fixe, selon le budget et plan de financement suivant : </w:t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134"/>
        <w:gridCol w:w="2977"/>
        <w:gridCol w:w="1650"/>
      </w:tblGrid>
      <w:tr>
        <w:trPr>
          <w:trHeight w:val="338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2985" w:leader="none"/>
                <w:tab w:val="left" w:pos="4820" w:leader="none"/>
              </w:tabs>
              <w:spacing w:before="60" w:after="80"/>
              <w:ind w:left="0" w:right="49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TTC </w:t>
            </w:r>
            <w:r>
              <w:rPr>
                <w:i/>
                <w:iCs/>
                <w:sz w:val="18"/>
                <w:szCs w:val="18"/>
                <w:highlight w:val="yellow"/>
              </w:rPr>
              <w:t>ou HT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60" w:after="80"/>
              <w:ind w:left="0" w:right="14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60" w:after="80"/>
              <w:ind w:left="0" w:right="493" w:hanging="0"/>
              <w:jc w:val="center"/>
              <w:rPr/>
            </w:pPr>
            <w:r>
              <w:rPr>
                <w:rStyle w:val="Policepardfaut"/>
                <w:sz w:val="18"/>
                <w:szCs w:val="18"/>
              </w:rPr>
              <w:t>Financements</w:t>
            </w:r>
          </w:p>
        </w:tc>
        <w:tc>
          <w:tcPr>
            <w:tcW w:w="16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371" w:leader="none"/>
                <w:tab w:val="left" w:pos="4820" w:leader="none"/>
              </w:tabs>
              <w:spacing w:before="40" w:after="40"/>
              <w:ind w:left="0" w:right="40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€</w:t>
            </w:r>
          </w:p>
        </w:tc>
      </w:tr>
      <w:tr>
        <w:trPr>
          <w:trHeight w:val="2750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Plâtrerie/isolation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Électricité</w:t>
            </w:r>
            <w:r>
              <w:rPr>
                <w:i/>
                <w:iCs/>
                <w:sz w:val="18"/>
                <w:szCs w:val="18"/>
                <w:highlight w:val="yellow"/>
              </w:rPr>
              <w:t>, ventilation, plomberie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Chape, carrelage, peinture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Études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 techniques et maitrise d’œuvre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 xml:space="preserve">Aménagements et mobiliers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left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…</w:t>
            </w:r>
            <w:r>
              <w:rPr>
                <w:i/>
                <w:iCs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ind w:left="0" w:right="-6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right w:w="6" w:type="dxa"/>
            </w:tcMar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00" w:after="80"/>
              <w:rPr>
                <w:b w:val="false"/>
                <w:b w:val="false"/>
                <w:bCs w:val="false"/>
                <w:i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  <w:highlight w:val="yellow"/>
              </w:rPr>
              <w:t>Fonds européens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00" w:after="80"/>
              <w:rPr>
                <w:b w:val="false"/>
                <w:b w:val="false"/>
                <w:bCs w:val="false"/>
                <w:i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18"/>
                <w:szCs w:val="18"/>
                <w:highlight w:val="yellow"/>
              </w:rPr>
              <w:t>Collectivités locales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00" w:after="80"/>
              <w:rPr>
                <w:i/>
                <w:i/>
                <w:iCs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Région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00" w:after="80"/>
              <w:rPr/>
            </w:pPr>
            <w:r>
              <w:rPr>
                <w:rStyle w:val="Policepardfaut"/>
                <w:i/>
                <w:iCs/>
                <w:sz w:val="18"/>
                <w:szCs w:val="18"/>
                <w:highlight w:val="yellow"/>
              </w:rPr>
              <w:t xml:space="preserve">         </w:t>
            </w:r>
            <w:r>
              <w:rPr>
                <w:rStyle w:val="Policepardfaut"/>
                <w:i/>
                <w:iCs/>
                <w:sz w:val="18"/>
                <w:szCs w:val="18"/>
                <w:highlight w:val="yellow"/>
              </w:rPr>
              <w:t>Total financements publics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rPr/>
            </w:pPr>
            <w:r>
              <w:rPr>
                <w:rStyle w:val="Policepardfaut"/>
                <w:i/>
                <w:iCs/>
                <w:sz w:val="18"/>
                <w:szCs w:val="18"/>
                <w:highlight w:val="yellow"/>
              </w:rPr>
              <w:t xml:space="preserve">Autofinancement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rPr/>
            </w:pPr>
            <w:r>
              <w:rPr>
                <w:rStyle w:val="Policepardfaut"/>
                <w:i/>
                <w:iCs/>
                <w:sz w:val="18"/>
                <w:szCs w:val="18"/>
                <w:highlight w:val="yellow"/>
              </w:rPr>
              <w:t>Financements privés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rPr/>
            </w:pPr>
            <w:r>
              <w:rPr>
                <w:rStyle w:val="Policepardfaut"/>
                <w:i/>
                <w:i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16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00" w:after="80"/>
              <w:rPr>
                <w:b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 xml:space="preserve">  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0" w:after="80"/>
              <w:rPr/>
            </w:pPr>
            <w:r>
              <w:rPr>
                <w:rStyle w:val="Policepardfaut"/>
                <w:sz w:val="18"/>
                <w:szCs w:val="18"/>
              </w:rPr>
              <w:t xml:space="preserve">    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120" w:after="80"/>
              <w:rPr/>
            </w:pPr>
            <w:r>
              <w:rPr>
                <w:rStyle w:val="Policepardfaut"/>
                <w:sz w:val="18"/>
                <w:szCs w:val="18"/>
              </w:rPr>
              <w:t xml:space="preserve"> </w:t>
            </w:r>
          </w:p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lineRule="auto" w:line="240" w:before="0" w:after="80"/>
              <w:rPr/>
            </w:pPr>
            <w:r>
              <w:rPr>
                <w:rStyle w:val="Policepardfaut"/>
                <w:sz w:val="18"/>
                <w:szCs w:val="18"/>
              </w:rPr>
              <w:t xml:space="preserve">     </w:t>
            </w:r>
            <w:r>
              <w:rPr>
                <w:rStyle w:val="Policepardfaut"/>
                <w:sz w:val="18"/>
                <w:szCs w:val="18"/>
              </w:rPr>
              <w:br/>
              <w:t xml:space="preserve">    </w:t>
            </w:r>
          </w:p>
        </w:tc>
      </w:tr>
      <w:tr>
        <w:trPr>
          <w:trHeight w:val="60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120" w:after="80"/>
              <w:ind w:left="0" w:right="496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>
              <w:rPr>
                <w:i/>
                <w:iCs/>
                <w:sz w:val="18"/>
                <w:szCs w:val="18"/>
                <w:highlight w:val="yellow"/>
              </w:rPr>
              <w:t xml:space="preserve">TTC </w:t>
            </w:r>
            <w:r>
              <w:rPr>
                <w:i/>
                <w:iCs/>
                <w:sz w:val="18"/>
                <w:szCs w:val="18"/>
                <w:highlight w:val="yellow"/>
              </w:rPr>
              <w:t>ou HT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120" w:after="8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right w:w="6" w:type="dxa"/>
            </w:tcMar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120" w:after="80"/>
              <w:ind w:left="0" w:right="273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clear" w:pos="720"/>
                <w:tab w:val="left" w:pos="567" w:leader="none"/>
                <w:tab w:val="left" w:pos="4820" w:leader="none"/>
              </w:tabs>
              <w:spacing w:before="120" w:after="80"/>
              <w:ind w:left="-107" w:right="-16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</w:tr>
    </w:tbl>
    <w:p>
      <w:pPr>
        <w:pStyle w:val="Paragraphedeliste"/>
        <w:ind w:left="0" w:right="0" w:hanging="0"/>
        <w:rPr/>
      </w:pPr>
      <w:r>
        <w:rPr>
          <w:rStyle w:val="Policepardfaut"/>
          <w:rFonts w:cs="Arial" w:ascii="Arial" w:hAnsi="Arial"/>
          <w:u w:val="single"/>
        </w:rPr>
        <w:br/>
      </w:r>
    </w:p>
    <w:p>
      <w:pPr>
        <w:pStyle w:val="Paragraphedeliste"/>
        <w:ind w:left="0" w:right="0" w:hanging="0"/>
        <w:rPr/>
      </w:pPr>
      <w:r>
        <w:rPr>
          <w:rStyle w:val="Policepardfaut"/>
          <w:rFonts w:cs="Arial" w:ascii="Arial" w:hAnsi="Arial"/>
          <w:color w:val="000000"/>
        </w:rPr>
        <w:t xml:space="preserve">La réalisation des travaux est prévue </w:t>
      </w:r>
      <w:r>
        <w:rPr>
          <w:rStyle w:val="Policepardfaut"/>
          <w:rFonts w:cs="Arial" w:ascii="Arial" w:hAnsi="Arial"/>
          <w:color w:val="000000"/>
        </w:rPr>
        <w:t xml:space="preserve">en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 xml:space="preserve">période </w:t>
      </w:r>
    </w:p>
    <w:p>
      <w:pPr>
        <w:pStyle w:val="Normal1"/>
        <w:widowControl w:val="false"/>
        <w:suppressAutoHyphens w:val="true"/>
        <w:autoSpaceDE w:val="false"/>
        <w:ind w:left="0" w:right="0" w:hanging="0"/>
        <w:jc w:val="both"/>
        <w:rPr/>
      </w:pP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La SCI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S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réalisera un inventaire précis des éléments qu’elle confie à l’association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A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(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meubles, électroménager, outils, machines…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) dont l’état exhaustif sera également décrit. Ce document identifiera de façon séparée le matériel appartenant à l’association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A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.</w:t>
      </w:r>
    </w:p>
    <w:p>
      <w:pPr>
        <w:pStyle w:val="Paragraphedeliste"/>
        <w:numPr>
          <w:ilvl w:val="0"/>
          <w:numId w:val="1"/>
        </w:numPr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Style w:val="Policepardfaut"/>
          <w:rFonts w:cs="Arial" w:ascii="Arial" w:hAnsi="Arial"/>
          <w:b/>
          <w:bCs/>
          <w:color w:val="000000"/>
          <w:u w:val="single"/>
        </w:rPr>
        <w:t>Conditions de location</w:t>
      </w:r>
    </w:p>
    <w:p>
      <w:pPr>
        <w:pStyle w:val="Paragraphedeliste"/>
        <w:ind w:left="0" w:right="0" w:hanging="0"/>
        <w:jc w:val="both"/>
        <w:rPr/>
      </w:pPr>
      <w:r>
        <w:rPr>
          <w:rFonts w:cs="Arial" w:ascii="Arial" w:hAnsi="Arial"/>
          <w:color w:val="000000"/>
        </w:rPr>
        <w:t xml:space="preserve">La </w:t>
      </w:r>
      <w:r>
        <w:rPr>
          <w:rFonts w:cs="Arial" w:ascii="Arial" w:hAnsi="Arial"/>
          <w:color w:val="000000"/>
        </w:rPr>
        <w:t>SC</w:t>
      </w:r>
      <w:r>
        <w:rPr>
          <w:rFonts w:cs="Arial" w:ascii="Arial" w:hAnsi="Arial"/>
          <w:color w:val="000000"/>
        </w:rPr>
        <w:t xml:space="preserve">I </w:t>
      </w:r>
      <w:r>
        <w:rPr>
          <w:rFonts w:cs="Arial" w:ascii="Arial" w:hAnsi="Arial"/>
          <w:i/>
          <w:iCs/>
          <w:color w:val="000000"/>
          <w:highlight w:val="yellow"/>
        </w:rPr>
        <w:t>S</w:t>
      </w:r>
      <w:r>
        <w:rPr>
          <w:rFonts w:cs="Arial" w:ascii="Arial" w:hAnsi="Arial"/>
          <w:color w:val="000000"/>
        </w:rPr>
        <w:t xml:space="preserve"> propose un loyer à l’association </w:t>
      </w:r>
      <w:r>
        <w:rPr>
          <w:rFonts w:cs="Arial" w:ascii="Arial" w:hAnsi="Arial"/>
          <w:i/>
          <w:iCs/>
          <w:color w:val="000000"/>
          <w:highlight w:val="yellow"/>
        </w:rPr>
        <w:t>A</w:t>
      </w:r>
      <w:r>
        <w:rPr>
          <w:rFonts w:cs="Arial" w:ascii="Arial" w:hAnsi="Arial"/>
          <w:color w:val="000000"/>
        </w:rPr>
        <w:t xml:space="preserve"> à un tarif avantageux, en dessous du prix du marché (en comparaison avec des baux commerciaux pratiqués </w:t>
      </w:r>
      <w:r>
        <w:rPr>
          <w:rFonts w:cs="Arial" w:ascii="Arial" w:hAnsi="Arial"/>
          <w:color w:val="000000"/>
        </w:rPr>
        <w:t>dans le territoire)</w:t>
      </w:r>
    </w:p>
    <w:p>
      <w:pPr>
        <w:pStyle w:val="Paragraphedeliste"/>
        <w:ind w:left="0" w:right="0" w:hanging="0"/>
        <w:jc w:val="both"/>
        <w:rPr/>
      </w:pPr>
      <w:r>
        <w:rPr>
          <w:rStyle w:val="Policepardfaut"/>
          <w:rFonts w:cs="Arial" w:ascii="Arial" w:hAnsi="Arial"/>
          <w:color w:val="000000"/>
        </w:rPr>
        <w:t xml:space="preserve">Le loyer est ainsi fixé à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xx</w:t>
      </w:r>
      <w:r>
        <w:rPr>
          <w:rStyle w:val="Policepardfaut"/>
          <w:rFonts w:cs="Arial" w:ascii="Arial" w:hAnsi="Arial"/>
          <w:color w:val="000000"/>
        </w:rPr>
        <w:t xml:space="preserve"> € TTC mensuel, soit un total de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 xml:space="preserve">xx </w:t>
      </w:r>
      <w:r>
        <w:rPr>
          <w:rStyle w:val="Policepardfaut"/>
          <w:rFonts w:cs="Arial" w:ascii="Arial" w:hAnsi="Arial"/>
          <w:color w:val="000000"/>
        </w:rPr>
        <w:t>€ TTC pour la 1</w:t>
      </w:r>
      <w:r>
        <w:rPr>
          <w:rStyle w:val="Policepardfaut"/>
          <w:rFonts w:cs="Arial" w:ascii="Arial" w:hAnsi="Arial"/>
          <w:color w:val="000000"/>
          <w:position w:val="7"/>
          <w:sz w:val="14"/>
        </w:rPr>
        <w:t>ère</w:t>
      </w:r>
      <w:r>
        <w:rPr>
          <w:rStyle w:val="Policepardfaut"/>
          <w:rFonts w:cs="Arial" w:ascii="Arial" w:hAnsi="Arial"/>
          <w:color w:val="000000"/>
        </w:rPr>
        <w:t xml:space="preserve"> année (202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x</w:t>
      </w:r>
      <w:r>
        <w:rPr>
          <w:rStyle w:val="Policepardfaut"/>
          <w:rFonts w:cs="Arial" w:ascii="Arial" w:hAnsi="Arial"/>
          <w:color w:val="000000"/>
        </w:rPr>
        <w:t xml:space="preserve">), </w:t>
      </w:r>
      <w:r>
        <w:rPr>
          <w:rStyle w:val="Policepardfaut"/>
          <w:rFonts w:cs="Arial" w:ascii="Arial" w:hAnsi="Arial"/>
        </w:rPr>
        <w:t>dont les conditions seront définies de manières précises dans un</w:t>
      </w:r>
      <w:r>
        <w:rPr>
          <w:rStyle w:val="Policepardfaut"/>
          <w:rFonts w:cs="Arial" w:ascii="Arial" w:hAnsi="Arial"/>
          <w:i/>
          <w:iCs/>
          <w:highlight w:val="yellow"/>
        </w:rPr>
        <w:t xml:space="preserve"> bail commercial 3-6-9</w:t>
      </w:r>
      <w:r>
        <w:rPr>
          <w:rStyle w:val="Policepardfaut"/>
          <w:rFonts w:cs="Arial" w:ascii="Arial" w:hAnsi="Arial"/>
        </w:rPr>
        <w:t xml:space="preserve"> (202</w:t>
      </w:r>
      <w:r>
        <w:rPr>
          <w:rStyle w:val="Policepardfaut"/>
          <w:rFonts w:cs="Arial" w:ascii="Arial" w:hAnsi="Arial"/>
          <w:i/>
          <w:iCs/>
          <w:highlight w:val="yellow"/>
        </w:rPr>
        <w:t>x</w:t>
      </w:r>
      <w:r>
        <w:rPr>
          <w:rStyle w:val="Policepardfaut"/>
          <w:rFonts w:cs="Arial" w:ascii="Arial" w:hAnsi="Arial"/>
        </w:rPr>
        <w:t xml:space="preserve"> à 20</w:t>
      </w:r>
      <w:r>
        <w:rPr>
          <w:rStyle w:val="Policepardfaut"/>
          <w:rFonts w:cs="Arial" w:ascii="Arial" w:hAnsi="Arial"/>
          <w:i/>
          <w:iCs/>
          <w:highlight w:val="yellow"/>
        </w:rPr>
        <w:t>xx</w:t>
      </w:r>
      <w:r>
        <w:rPr>
          <w:rStyle w:val="Policepardfaut"/>
          <w:rFonts w:cs="Arial" w:ascii="Arial" w:hAnsi="Arial"/>
        </w:rPr>
        <w:t>).</w:t>
      </w:r>
    </w:p>
    <w:p>
      <w:pPr>
        <w:pStyle w:val="Normal1"/>
        <w:jc w:val="both"/>
        <w:rPr/>
      </w:pPr>
      <w:r>
        <w:rPr>
          <w:rStyle w:val="Policepardfaut"/>
          <w:rFonts w:cs="Arial" w:ascii="Arial" w:hAnsi="Arial"/>
        </w:rPr>
        <w:t xml:space="preserve">Il est à noter que </w:t>
      </w:r>
      <w:r>
        <w:rPr>
          <w:rStyle w:val="Policepardfaut"/>
          <w:rFonts w:cs="Arial" w:ascii="Arial" w:hAnsi="Arial"/>
          <w:i/>
          <w:iCs/>
          <w:highlight w:val="yellow"/>
        </w:rPr>
        <w:t>A</w:t>
      </w:r>
      <w:r>
        <w:rPr>
          <w:rStyle w:val="Policepardfaut"/>
          <w:rFonts w:cs="Arial" w:ascii="Arial" w:hAnsi="Arial"/>
        </w:rPr>
        <w:t xml:space="preserve"> ne paiera le loyer qu’à son installatio</w:t>
      </w:r>
      <w:r>
        <w:rPr>
          <w:rStyle w:val="Policepardfaut"/>
          <w:rFonts w:cs="Arial" w:ascii="Arial" w:hAnsi="Arial"/>
          <w:color w:val="000000"/>
        </w:rPr>
        <w:t xml:space="preserve">n effective dans les locaux prévue en 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mois / année</w:t>
      </w:r>
      <w:r>
        <w:rPr>
          <w:rStyle w:val="Policepardfaut"/>
          <w:rFonts w:cs="Arial" w:ascii="Arial" w:hAnsi="Arial"/>
          <w:color w:val="000000"/>
        </w:rPr>
        <w:t>. Durant l’année 202</w:t>
      </w:r>
      <w:r>
        <w:rPr>
          <w:rStyle w:val="Policepardfaut"/>
          <w:rFonts w:cs="Arial" w:ascii="Arial" w:hAnsi="Arial"/>
          <w:i/>
          <w:iCs/>
          <w:color w:val="000000"/>
          <w:highlight w:val="yellow"/>
        </w:rPr>
        <w:t>x</w:t>
      </w:r>
      <w:r>
        <w:rPr>
          <w:rStyle w:val="Policepardfaut"/>
          <w:rFonts w:cs="Arial" w:ascii="Arial" w:hAnsi="Arial"/>
          <w:color w:val="000000"/>
        </w:rPr>
        <w:t xml:space="preserve">, année durant laquelle les travaux doivent se réaliser, l’association </w:t>
      </w:r>
      <w:r>
        <w:rPr>
          <w:rStyle w:val="Policepardfaut"/>
          <w:rFonts w:cs="Arial" w:ascii="Arial" w:hAnsi="Arial"/>
          <w:color w:val="000000"/>
          <w:highlight w:val="yellow"/>
        </w:rPr>
        <w:t>A</w:t>
      </w:r>
      <w:r>
        <w:rPr>
          <w:rStyle w:val="Policepardfaut"/>
          <w:rFonts w:cs="Arial" w:ascii="Arial" w:hAnsi="Arial"/>
          <w:color w:val="000000"/>
          <w:highlight w:val="yellow"/>
        </w:rPr>
        <w:t xml:space="preserve"> </w:t>
      </w:r>
      <w:r>
        <w:rPr>
          <w:rStyle w:val="Policepardfaut"/>
          <w:rFonts w:cs="Arial" w:ascii="Arial" w:hAnsi="Arial"/>
          <w:color w:val="000000"/>
        </w:rPr>
        <w:t>ne supportera aucune charge locative.</w:t>
      </w:r>
    </w:p>
    <w:p>
      <w:pPr>
        <w:pStyle w:val="Normal1"/>
        <w:jc w:val="both"/>
        <w:rPr/>
      </w:pP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Ces conditions permettront de faciliter l’amorçage du projet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de tiers-lieu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à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 xml:space="preserve">Ville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sur ces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 xml:space="preserve">xx 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 xml:space="preserve"> années (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202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x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 xml:space="preserve"> + 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x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 xml:space="preserve"> années de bail 202</w:t>
      </w:r>
      <w:r>
        <w:rPr>
          <w:rStyle w:val="Policepardfaut"/>
          <w:rFonts w:cs="Arial" w:ascii="Arial" w:hAnsi="Arial"/>
          <w:b w:val="false"/>
          <w:bCs w:val="false"/>
          <w:i/>
          <w:iCs/>
          <w:color w:val="000000"/>
          <w:highlight w:val="yellow"/>
          <w:u w:val="none"/>
        </w:rPr>
        <w:t>x-20xx</w:t>
      </w:r>
      <w:r>
        <w:rPr>
          <w:rStyle w:val="Policepardfaut"/>
          <w:rFonts w:cs="Arial" w:ascii="Arial" w:hAnsi="Arial"/>
          <w:b w:val="false"/>
          <w:bCs w:val="false"/>
          <w:color w:val="000000"/>
          <w:u w:val="none"/>
        </w:rPr>
        <w:t>) et sa pérennisation à terme.</w:t>
      </w:r>
    </w:p>
    <w:p>
      <w:pPr>
        <w:pStyle w:val="Paragraphedeliste"/>
        <w:numPr>
          <w:ilvl w:val="0"/>
          <w:numId w:val="1"/>
        </w:numPr>
        <w:rPr>
          <w:rFonts w:ascii="Arial" w:hAnsi="Arial" w:cs="Arial"/>
          <w:b/>
          <w:b/>
          <w:bCs/>
          <w:color w:val="000000"/>
          <w:u w:val="single"/>
        </w:rPr>
      </w:pPr>
      <w:r>
        <w:rPr>
          <w:rStyle w:val="Policepardfaut"/>
          <w:rFonts w:cs="Arial" w:ascii="Arial" w:hAnsi="Arial"/>
          <w:b/>
          <w:bCs/>
          <w:color w:val="000000"/>
          <w:u w:val="single"/>
        </w:rPr>
        <w:t>Clause résolutoire</w:t>
      </w:r>
    </w:p>
    <w:p>
      <w:pPr>
        <w:pStyle w:val="Normal1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Cette clause prévoie la résiliation de plein droit de la convention pour un défaut de respect des engagements pré-cités ou le non-respect du contrat de bail.</w:t>
      </w:r>
    </w:p>
    <w:p>
      <w:pPr>
        <w:pStyle w:val="Normal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A  </w:t>
      </w:r>
      <w:r>
        <w:rPr>
          <w:rFonts w:cs="Arial" w:ascii="Arial" w:hAnsi="Arial"/>
          <w:i/>
          <w:iCs/>
          <w:highlight w:val="yellow"/>
          <w:lang w:val="en-US"/>
        </w:rPr>
        <w:t>Ville</w:t>
      </w:r>
      <w:r>
        <w:rPr>
          <w:rFonts w:cs="Arial" w:ascii="Arial" w:hAnsi="Arial"/>
          <w:lang w:val="en-US"/>
        </w:rPr>
        <w:t xml:space="preserve">, le </w:t>
      </w:r>
      <w:r>
        <w:rPr>
          <w:rFonts w:cs="Arial" w:ascii="Arial" w:hAnsi="Arial"/>
          <w:i/>
          <w:iCs/>
          <w:highlight w:val="yellow"/>
          <w:lang w:val="en-US"/>
        </w:rPr>
        <w:t>jj/mm/aaaa</w:t>
      </w:r>
    </w:p>
    <w:p>
      <w:pPr>
        <w:pStyle w:val="Normal1"/>
        <w:tabs>
          <w:tab w:val="clear" w:pos="720"/>
        </w:tabs>
        <w:ind w:left="720" w:right="0" w:hanging="0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1"/>
        <w:tabs>
          <w:tab w:val="clear" w:pos="720"/>
        </w:tabs>
        <w:ind w:left="720" w:right="0" w:hanging="0"/>
        <w:rPr/>
      </w:pPr>
      <w:r>
        <w:rPr>
          <w:rFonts w:cs="Arial" w:ascii="Arial" w:hAnsi="Arial"/>
          <w:lang w:val="en-US"/>
        </w:rPr>
        <w:t xml:space="preserve">SCI </w:t>
      </w:r>
      <w:r>
        <w:rPr>
          <w:rFonts w:cs="Arial" w:ascii="Arial" w:hAnsi="Arial"/>
          <w:i/>
          <w:iCs/>
          <w:highlight w:val="yellow"/>
          <w:lang w:val="en-US"/>
        </w:rPr>
        <w:t>S</w:t>
      </w:r>
      <w:r>
        <w:rPr>
          <w:rFonts w:cs="Arial" w:ascii="Arial" w:hAnsi="Arial"/>
          <w:lang w:val="en-US"/>
        </w:rPr>
        <w:tab/>
        <w:tab/>
        <w:tab/>
        <w:tab/>
        <w:tab/>
        <w:t xml:space="preserve">Association </w:t>
      </w:r>
      <w:r>
        <w:rPr>
          <w:rFonts w:cs="Arial" w:ascii="Arial" w:hAnsi="Arial"/>
          <w:i/>
          <w:iCs/>
          <w:highlight w:val="yellow"/>
          <w:lang w:val="en-US"/>
        </w:rPr>
        <w:t>A</w:t>
      </w:r>
    </w:p>
    <w:p>
      <w:pPr>
        <w:pStyle w:val="Normal1"/>
        <w:tabs>
          <w:tab w:val="clear" w:pos="720"/>
        </w:tabs>
        <w:ind w:left="720" w:right="0" w:hanging="0"/>
        <w:rPr>
          <w:rFonts w:ascii="Arial" w:hAnsi="Arial" w:cs="Arial"/>
        </w:rPr>
      </w:pPr>
      <w:r>
        <w:rPr>
          <w:rFonts w:cs="Arial" w:ascii="Arial" w:hAnsi="Arial"/>
        </w:rPr>
        <w:t>Géran</w:t>
      </w:r>
      <w:r>
        <w:rPr>
          <w:rFonts w:cs="Arial" w:ascii="Arial" w:hAnsi="Arial"/>
          <w:i/>
          <w:iCs/>
          <w:highlight w:val="yellow"/>
        </w:rPr>
        <w:t>t.e</w:t>
      </w:r>
      <w:r>
        <w:rPr>
          <w:rFonts w:cs="Arial" w:ascii="Arial" w:hAnsi="Arial"/>
        </w:rPr>
        <w:t> :</w:t>
        <w:tab/>
        <w:tab/>
        <w:tab/>
        <w:tab/>
        <w:t>Présiden</w:t>
      </w:r>
      <w:r>
        <w:rPr>
          <w:rFonts w:cs="Arial" w:ascii="Arial" w:hAnsi="Arial"/>
          <w:i/>
          <w:iCs/>
          <w:highlight w:val="yellow"/>
        </w:rPr>
        <w:t>t.e </w:t>
      </w:r>
      <w:r>
        <w:rPr>
          <w:rFonts w:cs="Arial" w:ascii="Arial" w:hAnsi="Arial"/>
        </w:rPr>
        <w:t>:</w:t>
      </w:r>
    </w:p>
    <w:p>
      <w:pPr>
        <w:pStyle w:val="Paragraphedeliste"/>
        <w:ind w:left="72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sectPr>
      <w:footerReference w:type="default" r:id="rId2"/>
      <w:type w:val="nextPage"/>
      <w:pgSz w:w="11906" w:h="16838"/>
      <w:pgMar w:left="1417" w:right="991" w:header="0" w:top="1417" w:footer="1417" w:bottom="196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t>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character" w:styleId="Policepardfaut">
    <w:name w:val="Police par défaut"/>
    <w:qFormat/>
    <w:rPr/>
  </w:style>
  <w:style w:type="character" w:styleId="EntteCar">
    <w:name w:val="En-tête Car"/>
    <w:basedOn w:val="Policepardfaut"/>
    <w:qFormat/>
    <w:rPr/>
  </w:style>
  <w:style w:type="character" w:styleId="PieddepageCar">
    <w:name w:val="Pied de page Car"/>
    <w:basedOn w:val="Policepardfaut"/>
    <w:qFormat/>
    <w:rPr/>
  </w:style>
  <w:style w:type="character" w:styleId="CorpsdetexteCar">
    <w:name w:val="Corps de texte Car"/>
    <w:basedOn w:val="Policepardfaut"/>
    <w:qFormat/>
    <w:rPr>
      <w:rFonts w:ascii="Times New Roman" w:hAnsi="Times New Roman" w:eastAsia="Times New Roman"/>
      <w:sz w:val="24"/>
      <w:szCs w:val="20"/>
      <w:lang w:eastAsia="fr-FR"/>
    </w:rPr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CommentaireCar">
    <w:name w:val="Commentaire Car"/>
    <w:basedOn w:val="Policepardfaut"/>
    <w:qFormat/>
    <w:rPr>
      <w:sz w:val="20"/>
      <w:szCs w:val="20"/>
    </w:rPr>
  </w:style>
  <w:style w:type="character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Arial" w:hAnsi="Arial" w:eastAsia="Calibri" w:cs="Arial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en-US" w:bidi="ar-SA"/>
    </w:rPr>
  </w:style>
  <w:style w:type="paragraph" w:styleId="Paragraphedeliste">
    <w:name w:val="Paragraphe de liste"/>
    <w:basedOn w:val="Normal1"/>
    <w:qFormat/>
    <w:pPr>
      <w:tabs>
        <w:tab w:val="clear" w:pos="720"/>
      </w:tabs>
      <w:suppressAutoHyphens w:val="true"/>
      <w:ind w:left="708" w:right="0" w:hanging="0"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</w:pPr>
    <w:rPr/>
  </w:style>
  <w:style w:type="paragraph" w:styleId="Entte">
    <w:name w:val="Header"/>
    <w:basedOn w:val="Normal1"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ieddepage">
    <w:name w:val="Footer"/>
    <w:basedOn w:val="Normal1"/>
    <w:pPr>
      <w:tabs>
        <w:tab w:val="clear" w:pos="720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Corpsdetexte">
    <w:name w:val="Body Text"/>
    <w:basedOn w:val="Normal1"/>
    <w:pPr>
      <w:suppressAutoHyphens w:val="true"/>
      <w:spacing w:lineRule="atLeast" w:line="240" w:before="480" w:after="0"/>
      <w:jc w:val="both"/>
      <w:textAlignment w:val="auto"/>
    </w:pPr>
    <w:rPr>
      <w:rFonts w:ascii="Times New Roman" w:hAnsi="Times New Roman" w:eastAsia="Times New Roman"/>
      <w:sz w:val="24"/>
      <w:szCs w:val="20"/>
      <w:lang w:eastAsia="fr-FR"/>
    </w:rPr>
  </w:style>
  <w:style w:type="paragraph" w:styleId="Commentaire">
    <w:name w:val="Commentaire"/>
    <w:basedOn w:val="Normal1"/>
    <w:qFormat/>
    <w:pPr>
      <w:suppressAutoHyphens w:val="true"/>
      <w:spacing w:lineRule="auto" w:line="240"/>
    </w:pPr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>
      <w:suppressAutoHyphens w:val="true"/>
    </w:pPr>
    <w:rPr>
      <w:b/>
      <w:bCs/>
    </w:rPr>
  </w:style>
  <w:style w:type="paragraph" w:styleId="Normalcentr">
    <w:name w:val="Normal centré"/>
    <w:basedOn w:val="Normal1"/>
    <w:qFormat/>
    <w:pPr>
      <w:widowControl w:val="false"/>
      <w:tabs>
        <w:tab w:val="clear" w:pos="720"/>
      </w:tabs>
      <w:suppressAutoHyphens w:val="false"/>
      <w:autoSpaceDE w:val="false"/>
      <w:spacing w:lineRule="auto" w:line="240" w:before="0" w:after="0"/>
      <w:ind w:left="1134" w:right="-431" w:hanging="0"/>
      <w:jc w:val="both"/>
      <w:textAlignment w:val="auto"/>
    </w:pPr>
    <w:rPr>
      <w:rFonts w:ascii="Arial" w:hAnsi="Arial" w:eastAsia="Times New Roman"/>
      <w:szCs w:val="20"/>
      <w:lang w:eastAsia="fr-FR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LibreOffice/6.3.5.2$Windows_X86_64 LibreOffice_project/dd0751754f11728f69b42ee2af66670068624673</Application>
  <Pages>3</Pages>
  <Words>742</Words>
  <CharactersWithSpaces>4554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2021-05-06T08:26:00Z</dcterms:created>
  <dc:creator>utilisateur</dc:creator>
  <dc:description/>
  <dc:language>fr-FR</dc:language>
  <cp:lastModifiedBy/>
  <dcterms:modified xsi:type="dcterms:W3CDTF">2021-06-20T15:47:01Z</dcterms:modified>
  <cp:revision>10</cp:revision>
  <dc:subject/>
  <dc:title>Statuts de l'association</dc:title>
</cp:coreProperties>
</file>